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BCA59" w14:textId="77777777" w:rsidR="00D13A11" w:rsidRPr="00D13A11" w:rsidRDefault="00D13A11" w:rsidP="00B85025">
      <w:pPr>
        <w:pStyle w:val="IOPTitle"/>
        <w:spacing w:after="120" w:line="240" w:lineRule="auto"/>
        <w:jc w:val="both"/>
        <w:rPr>
          <w:b w:val="0"/>
          <w:bCs/>
          <w:sz w:val="20"/>
          <w:szCs w:val="20"/>
          <w:lang w:val="en-MY"/>
        </w:rPr>
      </w:pPr>
      <w:r w:rsidRPr="00D13A11">
        <w:rPr>
          <w:rStyle w:val="IOPTitleChar"/>
          <w:b/>
          <w:bCs/>
          <w:sz w:val="20"/>
          <w:szCs w:val="20"/>
        </w:rPr>
        <w:t>Alluvium assessment of Gold-Bearing Layer</w:t>
      </w:r>
      <w:r w:rsidRPr="00D13A11">
        <w:rPr>
          <w:rStyle w:val="IOPTitleChar"/>
          <w:sz w:val="20"/>
          <w:szCs w:val="20"/>
        </w:rPr>
        <w:t xml:space="preserve"> </w:t>
      </w:r>
      <w:r w:rsidRPr="00D13A11">
        <w:rPr>
          <w:sz w:val="20"/>
          <w:szCs w:val="20"/>
          <w:lang w:val="en-MY"/>
        </w:rPr>
        <w:t>in Buried Old River Channel by</w:t>
      </w:r>
      <w:r w:rsidRPr="00D13A11">
        <w:rPr>
          <w:b w:val="0"/>
          <w:bCs/>
          <w:sz w:val="20"/>
          <w:szCs w:val="20"/>
          <w:lang w:val="en-MY"/>
        </w:rPr>
        <w:t xml:space="preserve"> </w:t>
      </w:r>
      <w:r w:rsidRPr="00D13A11">
        <w:rPr>
          <w:rStyle w:val="IOPTitleChar"/>
          <w:b/>
          <w:bCs/>
          <w:sz w:val="20"/>
          <w:szCs w:val="20"/>
        </w:rPr>
        <w:t xml:space="preserve">using Electrical Resistivity Method at Batu </w:t>
      </w:r>
      <w:proofErr w:type="spellStart"/>
      <w:r w:rsidRPr="00D13A11">
        <w:rPr>
          <w:rStyle w:val="IOPTitleChar"/>
          <w:b/>
          <w:bCs/>
          <w:sz w:val="20"/>
          <w:szCs w:val="20"/>
        </w:rPr>
        <w:t>Melintang</w:t>
      </w:r>
      <w:proofErr w:type="spellEnd"/>
      <w:r w:rsidRPr="00D13A11">
        <w:rPr>
          <w:rStyle w:val="IOPTitleChar"/>
          <w:b/>
          <w:bCs/>
          <w:sz w:val="20"/>
          <w:szCs w:val="20"/>
        </w:rPr>
        <w:t xml:space="preserve">, </w:t>
      </w:r>
      <w:proofErr w:type="spellStart"/>
      <w:r w:rsidRPr="00D13A11">
        <w:rPr>
          <w:rStyle w:val="IOPTitleChar"/>
          <w:b/>
          <w:bCs/>
          <w:sz w:val="20"/>
          <w:szCs w:val="20"/>
        </w:rPr>
        <w:t>Jeli</w:t>
      </w:r>
      <w:proofErr w:type="spellEnd"/>
      <w:r w:rsidRPr="00D13A11">
        <w:rPr>
          <w:rStyle w:val="IOPTitleChar"/>
          <w:b/>
          <w:bCs/>
          <w:sz w:val="20"/>
          <w:szCs w:val="20"/>
        </w:rPr>
        <w:t>, Kelantan</w:t>
      </w:r>
    </w:p>
    <w:p w14:paraId="602E9624" w14:textId="77777777" w:rsidR="00D13A11" w:rsidRPr="00D13A11" w:rsidRDefault="00D13A11" w:rsidP="00B85025">
      <w:pPr>
        <w:pStyle w:val="IOPAuthor"/>
        <w:spacing w:after="0" w:line="240" w:lineRule="auto"/>
        <w:ind w:right="0"/>
        <w:rPr>
          <w:sz w:val="20"/>
          <w:szCs w:val="20"/>
        </w:rPr>
      </w:pPr>
      <w:proofErr w:type="spellStart"/>
      <w:r w:rsidRPr="00D13A11">
        <w:rPr>
          <w:sz w:val="20"/>
          <w:szCs w:val="20"/>
        </w:rPr>
        <w:t>Mohd</w:t>
      </w:r>
      <w:proofErr w:type="spellEnd"/>
      <w:r w:rsidRPr="00D13A11">
        <w:rPr>
          <w:sz w:val="20"/>
          <w:szCs w:val="20"/>
        </w:rPr>
        <w:t xml:space="preserve"> </w:t>
      </w:r>
      <w:proofErr w:type="spellStart"/>
      <w:r w:rsidRPr="00D13A11">
        <w:rPr>
          <w:sz w:val="20"/>
          <w:szCs w:val="20"/>
        </w:rPr>
        <w:t>Syakir</w:t>
      </w:r>
      <w:proofErr w:type="spellEnd"/>
      <w:r w:rsidRPr="00D13A11">
        <w:rPr>
          <w:sz w:val="20"/>
          <w:szCs w:val="20"/>
        </w:rPr>
        <w:t xml:space="preserve"> Sulaiman</w:t>
      </w:r>
      <w:r w:rsidRPr="00D13A11">
        <w:rPr>
          <w:sz w:val="20"/>
          <w:szCs w:val="20"/>
          <w:vertAlign w:val="superscript"/>
        </w:rPr>
        <w:t>1*</w:t>
      </w:r>
      <w:r w:rsidRPr="00D13A11">
        <w:rPr>
          <w:sz w:val="20"/>
          <w:szCs w:val="20"/>
        </w:rPr>
        <w:t xml:space="preserve">, </w:t>
      </w:r>
      <w:proofErr w:type="spellStart"/>
      <w:r w:rsidRPr="00D13A11">
        <w:rPr>
          <w:sz w:val="20"/>
          <w:szCs w:val="20"/>
        </w:rPr>
        <w:t>Wani</w:t>
      </w:r>
      <w:proofErr w:type="spellEnd"/>
      <w:r w:rsidRPr="00D13A11">
        <w:rPr>
          <w:sz w:val="20"/>
          <w:szCs w:val="20"/>
        </w:rPr>
        <w:t xml:space="preserve"> Sofia Udin</w:t>
      </w:r>
      <w:r w:rsidRPr="00D13A11">
        <w:rPr>
          <w:sz w:val="20"/>
          <w:szCs w:val="20"/>
          <w:vertAlign w:val="superscript"/>
        </w:rPr>
        <w:t>1</w:t>
      </w:r>
      <w:r w:rsidRPr="00D13A11">
        <w:rPr>
          <w:sz w:val="20"/>
          <w:szCs w:val="20"/>
        </w:rPr>
        <w:t xml:space="preserve">, </w:t>
      </w:r>
      <w:proofErr w:type="spellStart"/>
      <w:r w:rsidRPr="00D13A11">
        <w:rPr>
          <w:sz w:val="20"/>
          <w:szCs w:val="20"/>
        </w:rPr>
        <w:t>Arham</w:t>
      </w:r>
      <w:proofErr w:type="spellEnd"/>
      <w:r w:rsidRPr="00D13A11">
        <w:rPr>
          <w:sz w:val="20"/>
          <w:szCs w:val="20"/>
        </w:rPr>
        <w:t xml:space="preserve"> </w:t>
      </w:r>
      <w:proofErr w:type="spellStart"/>
      <w:r w:rsidRPr="00D13A11">
        <w:rPr>
          <w:sz w:val="20"/>
          <w:szCs w:val="20"/>
        </w:rPr>
        <w:t>Muchtar</w:t>
      </w:r>
      <w:proofErr w:type="spellEnd"/>
      <w:r w:rsidRPr="00D13A11">
        <w:rPr>
          <w:sz w:val="20"/>
          <w:szCs w:val="20"/>
        </w:rPr>
        <w:t xml:space="preserve"> </w:t>
      </w:r>
      <w:proofErr w:type="spellStart"/>
      <w:r w:rsidRPr="00D13A11">
        <w:rPr>
          <w:sz w:val="20"/>
          <w:szCs w:val="20"/>
        </w:rPr>
        <w:t>Achmad</w:t>
      </w:r>
      <w:proofErr w:type="spellEnd"/>
      <w:r w:rsidRPr="00D13A11">
        <w:rPr>
          <w:sz w:val="20"/>
          <w:szCs w:val="20"/>
        </w:rPr>
        <w:t xml:space="preserve"> Bahar</w:t>
      </w:r>
      <w:r w:rsidRPr="00D13A11">
        <w:rPr>
          <w:sz w:val="20"/>
          <w:szCs w:val="20"/>
          <w:vertAlign w:val="superscript"/>
        </w:rPr>
        <w:t>1</w:t>
      </w:r>
      <w:r w:rsidRPr="00D13A11">
        <w:rPr>
          <w:sz w:val="20"/>
          <w:szCs w:val="20"/>
        </w:rPr>
        <w:t>, Mohamad Fatihi</w:t>
      </w:r>
      <w:r w:rsidRPr="00D13A11">
        <w:rPr>
          <w:sz w:val="20"/>
          <w:szCs w:val="20"/>
          <w:vertAlign w:val="superscript"/>
        </w:rPr>
        <w:t>2</w:t>
      </w:r>
      <w:r w:rsidRPr="00D13A11">
        <w:rPr>
          <w:sz w:val="20"/>
          <w:szCs w:val="20"/>
        </w:rPr>
        <w:t xml:space="preserve"> and Ahmad Fikri</w:t>
      </w:r>
      <w:r w:rsidRPr="00D13A11">
        <w:rPr>
          <w:sz w:val="20"/>
          <w:szCs w:val="20"/>
          <w:vertAlign w:val="superscript"/>
        </w:rPr>
        <w:t>2</w:t>
      </w:r>
    </w:p>
    <w:p w14:paraId="7642CCCD" w14:textId="77777777" w:rsidR="00D13A11" w:rsidRPr="00D13A11" w:rsidRDefault="00D13A11" w:rsidP="00B85025">
      <w:pPr>
        <w:pStyle w:val="IOPAff"/>
        <w:spacing w:line="240" w:lineRule="auto"/>
        <w:ind w:right="0"/>
        <w:rPr>
          <w:rFonts w:asciiTheme="minorHAnsi" w:hAnsiTheme="minorHAnsi" w:cstheme="minorHAnsi"/>
          <w:sz w:val="16"/>
        </w:rPr>
      </w:pPr>
      <w:r w:rsidRPr="00D13A11">
        <w:rPr>
          <w:rFonts w:asciiTheme="minorHAnsi" w:hAnsiTheme="minorHAnsi" w:cstheme="minorHAnsi"/>
          <w:sz w:val="16"/>
          <w:vertAlign w:val="superscript"/>
        </w:rPr>
        <w:t xml:space="preserve">1 </w:t>
      </w:r>
      <w:r w:rsidRPr="00D13A11">
        <w:rPr>
          <w:rFonts w:asciiTheme="minorHAnsi" w:hAnsiTheme="minorHAnsi" w:cstheme="minorHAnsi"/>
          <w:sz w:val="16"/>
        </w:rPr>
        <w:t xml:space="preserve">Department of Geoscience, Faculty of Earth Science, </w:t>
      </w:r>
      <w:proofErr w:type="spellStart"/>
      <w:r w:rsidRPr="00D13A11">
        <w:rPr>
          <w:rFonts w:asciiTheme="minorHAnsi" w:hAnsiTheme="minorHAnsi" w:cstheme="minorHAnsi"/>
          <w:sz w:val="16"/>
          <w:szCs w:val="22"/>
        </w:rPr>
        <w:t>Universiti</w:t>
      </w:r>
      <w:proofErr w:type="spellEnd"/>
      <w:r w:rsidRPr="00D13A11">
        <w:rPr>
          <w:rFonts w:asciiTheme="minorHAnsi" w:hAnsiTheme="minorHAnsi" w:cstheme="minorHAnsi"/>
          <w:sz w:val="16"/>
          <w:szCs w:val="22"/>
        </w:rPr>
        <w:t xml:space="preserve"> Malaysia Kelantan </w:t>
      </w:r>
      <w:proofErr w:type="spellStart"/>
      <w:r w:rsidRPr="00D13A11">
        <w:rPr>
          <w:rFonts w:asciiTheme="minorHAnsi" w:hAnsiTheme="minorHAnsi" w:cstheme="minorHAnsi"/>
          <w:sz w:val="16"/>
          <w:szCs w:val="22"/>
        </w:rPr>
        <w:t>Jeli</w:t>
      </w:r>
      <w:proofErr w:type="spellEnd"/>
      <w:r w:rsidRPr="00D13A11">
        <w:rPr>
          <w:rFonts w:asciiTheme="minorHAnsi" w:hAnsiTheme="minorHAnsi" w:cstheme="minorHAnsi"/>
          <w:sz w:val="16"/>
          <w:szCs w:val="22"/>
        </w:rPr>
        <w:t xml:space="preserve"> Campus, 17600 </w:t>
      </w:r>
      <w:proofErr w:type="spellStart"/>
      <w:r w:rsidRPr="00D13A11">
        <w:rPr>
          <w:rFonts w:asciiTheme="minorHAnsi" w:hAnsiTheme="minorHAnsi" w:cstheme="minorHAnsi"/>
          <w:sz w:val="16"/>
          <w:szCs w:val="22"/>
        </w:rPr>
        <w:t>Jeli</w:t>
      </w:r>
      <w:proofErr w:type="spellEnd"/>
      <w:r w:rsidRPr="00D13A11">
        <w:rPr>
          <w:rFonts w:asciiTheme="minorHAnsi" w:hAnsiTheme="minorHAnsi" w:cstheme="minorHAnsi"/>
          <w:sz w:val="16"/>
          <w:szCs w:val="22"/>
        </w:rPr>
        <w:t>, Kelantan, Malaysia</w:t>
      </w:r>
    </w:p>
    <w:p w14:paraId="7BB7B99F" w14:textId="77777777" w:rsidR="00D13A11" w:rsidRPr="00D13A11" w:rsidRDefault="00D13A11" w:rsidP="00B85025">
      <w:pPr>
        <w:pStyle w:val="IOPAff"/>
        <w:spacing w:after="120" w:line="240" w:lineRule="auto"/>
        <w:ind w:right="0"/>
        <w:rPr>
          <w:rFonts w:asciiTheme="minorHAnsi" w:hAnsiTheme="minorHAnsi" w:cstheme="minorHAnsi"/>
          <w:sz w:val="16"/>
        </w:rPr>
      </w:pPr>
      <w:r w:rsidRPr="00D13A11">
        <w:rPr>
          <w:rFonts w:asciiTheme="minorHAnsi" w:hAnsiTheme="minorHAnsi" w:cstheme="minorHAnsi"/>
          <w:sz w:val="16"/>
          <w:vertAlign w:val="superscript"/>
        </w:rPr>
        <w:t>2</w:t>
      </w:r>
      <w:r w:rsidRPr="00D13A11">
        <w:rPr>
          <w:rFonts w:asciiTheme="minorHAnsi" w:hAnsiTheme="minorHAnsi" w:cstheme="minorHAnsi"/>
          <w:sz w:val="16"/>
        </w:rPr>
        <w:t xml:space="preserve"> </w:t>
      </w:r>
      <w:proofErr w:type="spellStart"/>
      <w:r w:rsidRPr="00D13A11">
        <w:rPr>
          <w:rFonts w:asciiTheme="minorHAnsi" w:hAnsiTheme="minorHAnsi" w:cstheme="minorHAnsi"/>
          <w:sz w:val="16"/>
        </w:rPr>
        <w:t>Ferrogeo</w:t>
      </w:r>
      <w:proofErr w:type="spellEnd"/>
      <w:r w:rsidRPr="00D13A11">
        <w:rPr>
          <w:rFonts w:asciiTheme="minorHAnsi" w:hAnsiTheme="minorHAnsi" w:cstheme="minorHAnsi"/>
          <w:sz w:val="16"/>
        </w:rPr>
        <w:t xml:space="preserve"> Services, 1-4, </w:t>
      </w:r>
      <w:proofErr w:type="spellStart"/>
      <w:r w:rsidRPr="00D13A11">
        <w:rPr>
          <w:rFonts w:asciiTheme="minorHAnsi" w:hAnsiTheme="minorHAnsi" w:cstheme="minorHAnsi"/>
          <w:sz w:val="16"/>
        </w:rPr>
        <w:t>Arked</w:t>
      </w:r>
      <w:proofErr w:type="spellEnd"/>
      <w:r w:rsidRPr="00D13A11">
        <w:rPr>
          <w:rFonts w:asciiTheme="minorHAnsi" w:hAnsiTheme="minorHAnsi" w:cstheme="minorHAnsi"/>
          <w:sz w:val="16"/>
        </w:rPr>
        <w:t xml:space="preserve"> MARA </w:t>
      </w:r>
      <w:proofErr w:type="spellStart"/>
      <w:r w:rsidRPr="00D13A11">
        <w:rPr>
          <w:rFonts w:asciiTheme="minorHAnsi" w:hAnsiTheme="minorHAnsi" w:cstheme="minorHAnsi"/>
          <w:sz w:val="16"/>
        </w:rPr>
        <w:t>Jeli</w:t>
      </w:r>
      <w:proofErr w:type="spellEnd"/>
      <w:r w:rsidRPr="00D13A11">
        <w:rPr>
          <w:rFonts w:asciiTheme="minorHAnsi" w:hAnsiTheme="minorHAnsi" w:cstheme="minorHAnsi"/>
          <w:sz w:val="16"/>
        </w:rPr>
        <w:t xml:space="preserve">, Bandar </w:t>
      </w:r>
      <w:proofErr w:type="spellStart"/>
      <w:r w:rsidRPr="00D13A11">
        <w:rPr>
          <w:rFonts w:asciiTheme="minorHAnsi" w:hAnsiTheme="minorHAnsi" w:cstheme="minorHAnsi"/>
          <w:sz w:val="16"/>
        </w:rPr>
        <w:t>Baru</w:t>
      </w:r>
      <w:proofErr w:type="spellEnd"/>
      <w:r w:rsidRPr="00D13A11">
        <w:rPr>
          <w:rFonts w:asciiTheme="minorHAnsi" w:hAnsiTheme="minorHAnsi" w:cstheme="minorHAnsi"/>
          <w:sz w:val="16"/>
        </w:rPr>
        <w:t xml:space="preserve"> </w:t>
      </w:r>
      <w:proofErr w:type="spellStart"/>
      <w:r w:rsidRPr="00D13A11">
        <w:rPr>
          <w:rFonts w:asciiTheme="minorHAnsi" w:hAnsiTheme="minorHAnsi" w:cstheme="minorHAnsi"/>
          <w:sz w:val="16"/>
        </w:rPr>
        <w:t>Jeli</w:t>
      </w:r>
      <w:proofErr w:type="spellEnd"/>
      <w:r w:rsidRPr="00D13A11">
        <w:rPr>
          <w:rFonts w:asciiTheme="minorHAnsi" w:hAnsiTheme="minorHAnsi" w:cstheme="minorHAnsi"/>
          <w:sz w:val="16"/>
        </w:rPr>
        <w:t xml:space="preserve">, 17600 </w:t>
      </w:r>
      <w:proofErr w:type="spellStart"/>
      <w:r w:rsidRPr="00D13A11">
        <w:rPr>
          <w:rFonts w:asciiTheme="minorHAnsi" w:hAnsiTheme="minorHAnsi" w:cstheme="minorHAnsi"/>
          <w:sz w:val="16"/>
        </w:rPr>
        <w:t>Jeli</w:t>
      </w:r>
      <w:proofErr w:type="spellEnd"/>
      <w:r w:rsidRPr="00D13A11">
        <w:rPr>
          <w:rFonts w:asciiTheme="minorHAnsi" w:hAnsiTheme="minorHAnsi" w:cstheme="minorHAnsi"/>
          <w:sz w:val="16"/>
        </w:rPr>
        <w:t>, Kelantan, Malaysia</w:t>
      </w:r>
    </w:p>
    <w:p w14:paraId="5259115B" w14:textId="77777777" w:rsidR="00D13A11" w:rsidRPr="00D13A11" w:rsidRDefault="00D13A11" w:rsidP="00B85025">
      <w:pPr>
        <w:pStyle w:val="IOPAff"/>
        <w:spacing w:after="120" w:line="240" w:lineRule="auto"/>
        <w:ind w:right="0"/>
        <w:rPr>
          <w:rFonts w:asciiTheme="minorHAnsi" w:hAnsiTheme="minorHAnsi" w:cstheme="minorHAnsi"/>
          <w:sz w:val="16"/>
        </w:rPr>
      </w:pPr>
      <w:r w:rsidRPr="00D13A11">
        <w:rPr>
          <w:rFonts w:asciiTheme="minorHAnsi" w:hAnsiTheme="minorHAnsi" w:cstheme="minorHAnsi"/>
          <w:sz w:val="16"/>
        </w:rPr>
        <w:t>*E-mail: syakirsulaiman123@gmail.com</w:t>
      </w:r>
    </w:p>
    <w:p w14:paraId="3DFBAEFE" w14:textId="77777777" w:rsidR="00D13A11" w:rsidRPr="00893477" w:rsidRDefault="00D13A11" w:rsidP="00B85025">
      <w:pPr>
        <w:pStyle w:val="IOPH1"/>
        <w:spacing w:before="240" w:after="60" w:line="240" w:lineRule="auto"/>
        <w:rPr>
          <w:rFonts w:asciiTheme="minorHAnsi" w:hAnsiTheme="minorHAnsi" w:cstheme="minorHAnsi"/>
          <w:sz w:val="20"/>
        </w:rPr>
      </w:pPr>
      <w:r w:rsidRPr="00893477">
        <w:rPr>
          <w:rFonts w:asciiTheme="minorHAnsi" w:hAnsiTheme="minorHAnsi" w:cstheme="minorHAnsi"/>
          <w:sz w:val="20"/>
        </w:rPr>
        <w:t>Abstract</w:t>
      </w:r>
    </w:p>
    <w:p w14:paraId="7B75256E" w14:textId="77777777" w:rsidR="00D13A11" w:rsidRPr="00D13A11" w:rsidRDefault="00D13A11" w:rsidP="00B85025">
      <w:pPr>
        <w:pStyle w:val="IOPKwd"/>
        <w:pBdr>
          <w:bottom w:val="none" w:sz="0" w:space="0" w:color="auto"/>
        </w:pBdr>
        <w:spacing w:before="0" w:after="120" w:line="240" w:lineRule="auto"/>
        <w:jc w:val="both"/>
        <w:rPr>
          <w:rFonts w:cs="Times New Roman"/>
          <w:noProof/>
          <w:sz w:val="18"/>
          <w:szCs w:val="18"/>
          <w:lang w:val="en-MY"/>
        </w:rPr>
      </w:pPr>
      <w:r w:rsidRPr="00D13A11">
        <w:rPr>
          <w:rFonts w:cs="Times New Roman"/>
          <w:noProof/>
          <w:sz w:val="18"/>
          <w:szCs w:val="18"/>
          <w:lang w:val="en-MY"/>
        </w:rPr>
        <w:t>The electrical resistivity imaging (ERI) survey was conducted to delineate the distribution of sediment in the gold-bearing layer and the nature of bedrock within the study area at Batu Melintang. The study area is known as a highly potential zone of gold mineralization due to its location within the Bentong-Raub suture zone. Miners are having difficulties to have a proper mining activities plan as the alluvium distribution is not well understood. The objectives of this study are to identify the sediment in the subsurface of the mining area and to locate the high potential deposit containing gold. ERI survey concerns with resistivity (ohm.m) value of rocks in the subsurface. This research was conducted by using the Schlumberger array with the total number of survey lines are four. All the survey line were done in 200m with 2.5m electrode spacing except for survey line 3 which was done at 100m with 1.5m electrode spacing. All the data obtained is processed in RES2DINV software. The results show variable resistivity ranging from 1-4000ohm.m with a depth of investigation is approximately 35m for 200m length of survey line and depth of 16m for 100m length of survey line. Low resistivity zones of 10-800ohm.m show the values for alluvium present in the area while high resistivity zones of 2000-4000ohm.m indicate values for bedrock. Alluvium layer is identified located around 15m depth, whereas the depth of bedrock is about 20m. This survey gives the general idea of the alluvium distribution, old river channel and the depth of bedrock that can be used for volume estimation and facilitates to create a proper sustainable mining plan in the future. The electrical resistivity imaging (ERI) survey was conducted to delineate the distribution of sediment in the gold-bearing layer and the nature of bedrock within the study area at Batu Melintang.</w:t>
      </w:r>
    </w:p>
    <w:p w14:paraId="4ABDF9C3" w14:textId="5AFA6545" w:rsidR="00E540F8" w:rsidRDefault="00E540F8"/>
    <w:p w14:paraId="530BFA68" w14:textId="0D9248AB" w:rsidR="00D13A11" w:rsidRDefault="00D13A11"/>
    <w:p w14:paraId="3FFA7647" w14:textId="645213D4" w:rsidR="00D13A11" w:rsidRPr="00B85025" w:rsidRDefault="00D13A11">
      <w:pPr>
        <w:rPr>
          <w:b/>
          <w:bCs/>
          <w:sz w:val="22"/>
          <w:szCs w:val="22"/>
          <w:highlight w:val="yellow"/>
        </w:rPr>
      </w:pPr>
      <w:r w:rsidRPr="00B85025">
        <w:rPr>
          <w:b/>
          <w:bCs/>
          <w:sz w:val="22"/>
          <w:szCs w:val="22"/>
          <w:highlight w:val="yellow"/>
        </w:rPr>
        <w:t>FONT &amp; SIZE:</w:t>
      </w:r>
    </w:p>
    <w:p w14:paraId="3BCF8A0D" w14:textId="77777777" w:rsidR="00D13A11" w:rsidRPr="00B85025" w:rsidRDefault="00D13A11">
      <w:pPr>
        <w:rPr>
          <w:sz w:val="22"/>
          <w:szCs w:val="22"/>
          <w:highlight w:val="yellow"/>
        </w:rPr>
      </w:pPr>
    </w:p>
    <w:p w14:paraId="4EBEE63B" w14:textId="77777777" w:rsidR="00D13A11" w:rsidRPr="00B85025" w:rsidRDefault="00D13A11" w:rsidP="00D13A11">
      <w:pPr>
        <w:pStyle w:val="CommentText"/>
        <w:rPr>
          <w:sz w:val="22"/>
          <w:szCs w:val="22"/>
        </w:rPr>
      </w:pPr>
      <w:r w:rsidRPr="00B85025">
        <w:rPr>
          <w:sz w:val="22"/>
          <w:szCs w:val="22"/>
        </w:rPr>
        <w:t xml:space="preserve">Title: </w:t>
      </w:r>
      <w:r w:rsidRPr="00B85025">
        <w:rPr>
          <w:b/>
          <w:bCs/>
          <w:sz w:val="22"/>
          <w:szCs w:val="22"/>
        </w:rPr>
        <w:t>Calibri (Body) 10</w:t>
      </w:r>
    </w:p>
    <w:p w14:paraId="0C9351C9" w14:textId="77777777" w:rsidR="00D13A11" w:rsidRPr="00B85025" w:rsidRDefault="00D13A11" w:rsidP="00D13A11">
      <w:pPr>
        <w:pStyle w:val="CommentText"/>
        <w:rPr>
          <w:sz w:val="22"/>
          <w:szCs w:val="22"/>
        </w:rPr>
      </w:pPr>
      <w:r w:rsidRPr="00B85025">
        <w:rPr>
          <w:sz w:val="22"/>
          <w:szCs w:val="22"/>
        </w:rPr>
        <w:t xml:space="preserve">Author name(s): </w:t>
      </w:r>
      <w:r w:rsidRPr="00B85025">
        <w:rPr>
          <w:b/>
          <w:bCs/>
          <w:sz w:val="22"/>
          <w:szCs w:val="22"/>
        </w:rPr>
        <w:t>Calibri (Body) 10</w:t>
      </w:r>
    </w:p>
    <w:p w14:paraId="0AB53229" w14:textId="29F5D4FF" w:rsidR="00D13A11" w:rsidRPr="00B85025" w:rsidRDefault="00D13A11" w:rsidP="00D13A11">
      <w:pPr>
        <w:pStyle w:val="CommentText"/>
        <w:rPr>
          <w:b/>
          <w:bCs/>
          <w:sz w:val="22"/>
          <w:szCs w:val="22"/>
        </w:rPr>
      </w:pPr>
      <w:r w:rsidRPr="00B85025">
        <w:rPr>
          <w:sz w:val="22"/>
          <w:szCs w:val="22"/>
        </w:rPr>
        <w:t xml:space="preserve">Affiliation &amp; Responding author’s email: </w:t>
      </w:r>
      <w:r w:rsidR="00B85025" w:rsidRPr="00B85025">
        <w:rPr>
          <w:b/>
          <w:bCs/>
          <w:sz w:val="22"/>
          <w:szCs w:val="22"/>
        </w:rPr>
        <w:t>Calibri (Body)</w:t>
      </w:r>
      <w:r w:rsidRPr="00B85025">
        <w:rPr>
          <w:b/>
          <w:bCs/>
          <w:sz w:val="22"/>
          <w:szCs w:val="22"/>
        </w:rPr>
        <w:t xml:space="preserve"> 8 </w:t>
      </w:r>
    </w:p>
    <w:p w14:paraId="04AE9014" w14:textId="77777777" w:rsidR="00D13A11" w:rsidRPr="00B85025" w:rsidRDefault="00D13A11" w:rsidP="00D13A11">
      <w:pPr>
        <w:pStyle w:val="CommentText"/>
        <w:rPr>
          <w:b/>
          <w:bCs/>
          <w:sz w:val="22"/>
          <w:szCs w:val="22"/>
        </w:rPr>
      </w:pPr>
      <w:r w:rsidRPr="00B85025">
        <w:rPr>
          <w:sz w:val="22"/>
          <w:szCs w:val="22"/>
        </w:rPr>
        <w:t xml:space="preserve">Heading “Abstract”: </w:t>
      </w:r>
      <w:r w:rsidRPr="00B85025">
        <w:rPr>
          <w:b/>
          <w:bCs/>
          <w:sz w:val="22"/>
          <w:szCs w:val="22"/>
        </w:rPr>
        <w:t>Calibri (Body) 10</w:t>
      </w:r>
    </w:p>
    <w:p w14:paraId="644F3C08" w14:textId="01AAD4B4" w:rsidR="00D13A11" w:rsidRPr="00B85025" w:rsidRDefault="00D13A11">
      <w:pPr>
        <w:rPr>
          <w:b/>
          <w:bCs/>
          <w:sz w:val="22"/>
          <w:szCs w:val="22"/>
        </w:rPr>
      </w:pPr>
      <w:r w:rsidRPr="00B85025">
        <w:rPr>
          <w:sz w:val="22"/>
          <w:szCs w:val="22"/>
        </w:rPr>
        <w:t xml:space="preserve">Main text: </w:t>
      </w:r>
      <w:r w:rsidRPr="00B85025">
        <w:rPr>
          <w:b/>
          <w:bCs/>
          <w:sz w:val="22"/>
          <w:szCs w:val="22"/>
        </w:rPr>
        <w:t>Times New Roman 9</w:t>
      </w:r>
    </w:p>
    <w:p w14:paraId="11AEB644" w14:textId="7692FD02" w:rsidR="00D13A11" w:rsidRDefault="00D13A11">
      <w:pPr>
        <w:rPr>
          <w:b/>
          <w:bCs/>
        </w:rPr>
      </w:pPr>
    </w:p>
    <w:p w14:paraId="00013050" w14:textId="0C6708AE" w:rsidR="00D13A11" w:rsidRPr="00D13A11" w:rsidRDefault="00D13A11">
      <w:pPr>
        <w:rPr>
          <w:lang w:val="en-US"/>
        </w:rPr>
      </w:pPr>
      <w:r w:rsidRPr="00D13A11">
        <w:rPr>
          <w:b/>
          <w:bCs/>
          <w:highlight w:val="yellow"/>
        </w:rPr>
        <w:t>Spacing: 1.0</w:t>
      </w:r>
      <w:r>
        <w:rPr>
          <w:b/>
          <w:bCs/>
        </w:rPr>
        <w:t xml:space="preserve"> </w:t>
      </w:r>
    </w:p>
    <w:sectPr w:rsidR="00D13A11" w:rsidRPr="00D13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A11"/>
    <w:rsid w:val="000B3A43"/>
    <w:rsid w:val="00B85025"/>
    <w:rsid w:val="00D13A11"/>
    <w:rsid w:val="00E540F8"/>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F8ECA94"/>
  <w15:chartTrackingRefBased/>
  <w15:docId w15:val="{F1A4E2E7-7FFA-6243-B8E1-9620DA8C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MY"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PTitle">
    <w:name w:val="IOPTitle"/>
    <w:basedOn w:val="Normal"/>
    <w:link w:val="IOPTitleChar"/>
    <w:qFormat/>
    <w:rsid w:val="00D13A11"/>
    <w:pPr>
      <w:spacing w:after="520" w:line="259" w:lineRule="auto"/>
    </w:pPr>
    <w:rPr>
      <w:rFonts w:eastAsiaTheme="minorHAnsi"/>
      <w:b/>
      <w:sz w:val="48"/>
      <w:szCs w:val="48"/>
      <w:lang w:val="en-GB" w:eastAsia="en-US"/>
    </w:rPr>
  </w:style>
  <w:style w:type="paragraph" w:customStyle="1" w:styleId="IOPAuthor">
    <w:name w:val="IOPAuthor"/>
    <w:basedOn w:val="Normal"/>
    <w:link w:val="IOPAuthorChar"/>
    <w:qFormat/>
    <w:rsid w:val="00D13A11"/>
    <w:pPr>
      <w:spacing w:after="200" w:line="259" w:lineRule="auto"/>
      <w:ind w:right="2552"/>
    </w:pPr>
    <w:rPr>
      <w:rFonts w:eastAsiaTheme="minorHAnsi"/>
      <w:b/>
      <w:sz w:val="22"/>
      <w:szCs w:val="22"/>
      <w:lang w:val="en-GB" w:eastAsia="en-US"/>
    </w:rPr>
  </w:style>
  <w:style w:type="character" w:customStyle="1" w:styleId="IOPTitleChar">
    <w:name w:val="IOPTitle Char"/>
    <w:basedOn w:val="DefaultParagraphFont"/>
    <w:link w:val="IOPTitle"/>
    <w:qFormat/>
    <w:rsid w:val="00D13A11"/>
    <w:rPr>
      <w:rFonts w:eastAsiaTheme="minorHAnsi"/>
      <w:b/>
      <w:sz w:val="48"/>
      <w:szCs w:val="48"/>
      <w:lang w:val="en-GB" w:eastAsia="en-US"/>
    </w:rPr>
  </w:style>
  <w:style w:type="paragraph" w:customStyle="1" w:styleId="IOPAff">
    <w:name w:val="IOPAff"/>
    <w:basedOn w:val="IOPAuthor"/>
    <w:link w:val="IOPAffChar"/>
    <w:qFormat/>
    <w:rsid w:val="00D13A11"/>
    <w:pPr>
      <w:spacing w:after="0"/>
    </w:pPr>
    <w:rPr>
      <w:rFonts w:ascii="Times New Roman" w:hAnsi="Times New Roman" w:cs="Times New Roman"/>
      <w:b w:val="0"/>
      <w:sz w:val="18"/>
      <w:szCs w:val="18"/>
    </w:rPr>
  </w:style>
  <w:style w:type="character" w:customStyle="1" w:styleId="IOPAuthorChar">
    <w:name w:val="IOPAuthor Char"/>
    <w:basedOn w:val="DefaultParagraphFont"/>
    <w:link w:val="IOPAuthor"/>
    <w:qFormat/>
    <w:rsid w:val="00D13A11"/>
    <w:rPr>
      <w:rFonts w:eastAsiaTheme="minorHAnsi"/>
      <w:b/>
      <w:sz w:val="22"/>
      <w:szCs w:val="22"/>
      <w:lang w:val="en-GB" w:eastAsia="en-US"/>
    </w:rPr>
  </w:style>
  <w:style w:type="paragraph" w:customStyle="1" w:styleId="IOPH1">
    <w:name w:val="IOPH1"/>
    <w:basedOn w:val="IOPAff"/>
    <w:link w:val="IOPH1Char"/>
    <w:qFormat/>
    <w:rsid w:val="00D13A11"/>
    <w:pPr>
      <w:spacing w:before="200" w:after="120"/>
      <w:ind w:right="0"/>
    </w:pPr>
    <w:rPr>
      <w:b/>
      <w:sz w:val="22"/>
    </w:rPr>
  </w:style>
  <w:style w:type="character" w:customStyle="1" w:styleId="IOPAffChar">
    <w:name w:val="IOPAff Char"/>
    <w:basedOn w:val="IOPAuthorChar"/>
    <w:link w:val="IOPAff"/>
    <w:qFormat/>
    <w:rsid w:val="00D13A11"/>
    <w:rPr>
      <w:rFonts w:ascii="Times New Roman" w:eastAsiaTheme="minorHAnsi" w:hAnsi="Times New Roman" w:cs="Times New Roman"/>
      <w:b w:val="0"/>
      <w:sz w:val="18"/>
      <w:szCs w:val="18"/>
      <w:lang w:val="en-GB" w:eastAsia="en-US"/>
    </w:rPr>
  </w:style>
  <w:style w:type="character" w:customStyle="1" w:styleId="IOPH1Char">
    <w:name w:val="IOPH1 Char"/>
    <w:basedOn w:val="IOPAffChar"/>
    <w:link w:val="IOPH1"/>
    <w:qFormat/>
    <w:rsid w:val="00D13A11"/>
    <w:rPr>
      <w:rFonts w:ascii="Times New Roman" w:eastAsiaTheme="minorHAnsi" w:hAnsi="Times New Roman" w:cs="Times New Roman"/>
      <w:b/>
      <w:sz w:val="22"/>
      <w:szCs w:val="18"/>
      <w:lang w:val="en-GB" w:eastAsia="en-US"/>
    </w:rPr>
  </w:style>
  <w:style w:type="paragraph" w:customStyle="1" w:styleId="IOPKwd">
    <w:name w:val="IOPKwd"/>
    <w:basedOn w:val="Normal"/>
    <w:link w:val="IOPKwdChar"/>
    <w:qFormat/>
    <w:rsid w:val="00D13A11"/>
    <w:pPr>
      <w:pBdr>
        <w:bottom w:val="single" w:sz="4" w:space="1" w:color="auto"/>
      </w:pBdr>
      <w:spacing w:before="240" w:after="240" w:line="259" w:lineRule="auto"/>
    </w:pPr>
    <w:rPr>
      <w:rFonts w:ascii="Times New Roman" w:eastAsiaTheme="minorHAnsi" w:hAnsi="Times New Roman"/>
      <w:sz w:val="20"/>
      <w:szCs w:val="22"/>
      <w:lang w:val="en-GB" w:eastAsia="en-US"/>
    </w:rPr>
  </w:style>
  <w:style w:type="character" w:customStyle="1" w:styleId="IOPKwdChar">
    <w:name w:val="IOPKwd Char"/>
    <w:basedOn w:val="DefaultParagraphFont"/>
    <w:link w:val="IOPKwd"/>
    <w:qFormat/>
    <w:rsid w:val="00D13A11"/>
    <w:rPr>
      <w:rFonts w:ascii="Times New Roman" w:eastAsiaTheme="minorHAnsi" w:hAnsi="Times New Roman"/>
      <w:sz w:val="20"/>
      <w:szCs w:val="22"/>
      <w:lang w:val="en-GB" w:eastAsia="en-US"/>
    </w:rPr>
  </w:style>
  <w:style w:type="character" w:styleId="CommentReference">
    <w:name w:val="annotation reference"/>
    <w:basedOn w:val="DefaultParagraphFont"/>
    <w:uiPriority w:val="99"/>
    <w:semiHidden/>
    <w:unhideWhenUsed/>
    <w:rsid w:val="00D13A11"/>
    <w:rPr>
      <w:sz w:val="16"/>
      <w:szCs w:val="16"/>
    </w:rPr>
  </w:style>
  <w:style w:type="paragraph" w:styleId="CommentText">
    <w:name w:val="annotation text"/>
    <w:basedOn w:val="Normal"/>
    <w:link w:val="CommentTextChar"/>
    <w:uiPriority w:val="99"/>
    <w:semiHidden/>
    <w:unhideWhenUsed/>
    <w:rsid w:val="00D13A11"/>
    <w:pPr>
      <w:spacing w:after="160"/>
    </w:pPr>
    <w:rPr>
      <w:sz w:val="20"/>
      <w:szCs w:val="20"/>
      <w:lang w:val="en-US" w:eastAsia="en-US"/>
    </w:rPr>
  </w:style>
  <w:style w:type="character" w:customStyle="1" w:styleId="CommentTextChar">
    <w:name w:val="Comment Text Char"/>
    <w:basedOn w:val="DefaultParagraphFont"/>
    <w:link w:val="CommentText"/>
    <w:uiPriority w:val="99"/>
    <w:semiHidden/>
    <w:rsid w:val="00D13A11"/>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 Ling Wong</dc:creator>
  <cp:keywords/>
  <dc:description/>
  <cp:lastModifiedBy>Office 365</cp:lastModifiedBy>
  <cp:revision>2</cp:revision>
  <dcterms:created xsi:type="dcterms:W3CDTF">2021-03-14T09:36:00Z</dcterms:created>
  <dcterms:modified xsi:type="dcterms:W3CDTF">2021-04-18T05:13:00Z</dcterms:modified>
</cp:coreProperties>
</file>